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F7BE" w14:textId="5E349EF0" w:rsidR="00C453D3" w:rsidRPr="00C453D3" w:rsidRDefault="00C453D3" w:rsidP="00C453D3">
      <w:pPr>
        <w:jc w:val="center"/>
        <w:rPr>
          <w:rFonts w:ascii="Times New Roman" w:eastAsia="Times New Roman" w:hAnsi="Times New Roman" w:cs="Times New Roman"/>
          <w:b/>
          <w:sz w:val="24"/>
          <w:szCs w:val="24"/>
        </w:rPr>
      </w:pPr>
      <w:r>
        <w:rPr>
          <w:rFonts w:eastAsia="Times New Roman"/>
          <w:b/>
          <w:noProof/>
          <w:color w:val="000000"/>
        </w:rPr>
        <mc:AlternateContent>
          <mc:Choice Requires="wps">
            <w:drawing>
              <wp:anchor distT="0" distB="0" distL="114300" distR="114300" simplePos="0" relativeHeight="251659264" behindDoc="0" locked="0" layoutInCell="1" allowOverlap="1" wp14:anchorId="23C232C2" wp14:editId="430FFF89">
                <wp:simplePos x="0" y="0"/>
                <wp:positionH relativeFrom="column">
                  <wp:posOffset>2161251</wp:posOffset>
                </wp:positionH>
                <wp:positionV relativeFrom="paragraph">
                  <wp:posOffset>-764540</wp:posOffset>
                </wp:positionV>
                <wp:extent cx="1529542" cy="748146"/>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9542" cy="748146"/>
                        </a:xfrm>
                        <a:prstGeom prst="rect">
                          <a:avLst/>
                        </a:prstGeom>
                        <a:noFill/>
                        <a:ln w="6350">
                          <a:noFill/>
                        </a:ln>
                      </wps:spPr>
                      <wps:txbx>
                        <w:txbxContent>
                          <w:p w14:paraId="08971875" w14:textId="491548E7" w:rsidR="00C453D3" w:rsidRDefault="00C453D3" w:rsidP="00C453D3">
                            <w:pPr>
                              <w:jc w:val="center"/>
                            </w:pPr>
                            <w:r>
                              <w:rPr>
                                <w:rFonts w:eastAsia="Times New Roman"/>
                                <w:b/>
                                <w:noProof/>
                                <w:color w:val="000000"/>
                              </w:rPr>
                              <w:drawing>
                                <wp:inline distT="0" distB="0" distL="0" distR="0" wp14:anchorId="509A9079" wp14:editId="54A54188">
                                  <wp:extent cx="110490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22 at 1.26.53 PM.png"/>
                                          <pic:cNvPicPr/>
                                        </pic:nvPicPr>
                                        <pic:blipFill>
                                          <a:blip r:embed="rId7">
                                            <a:extLst>
                                              <a:ext uri="{28A0092B-C50C-407E-A947-70E740481C1C}">
                                                <a14:useLocalDpi xmlns:a14="http://schemas.microsoft.com/office/drawing/2010/main" val="0"/>
                                              </a:ext>
                                            </a:extLst>
                                          </a:blip>
                                          <a:stretch>
                                            <a:fillRect/>
                                          </a:stretch>
                                        </pic:blipFill>
                                        <pic:spPr>
                                          <a:xfrm>
                                            <a:off x="0" y="0"/>
                                            <a:ext cx="1104900" cy="825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232C2" id="_x0000_t202" coordsize="21600,21600" o:spt="202" path="m,l,21600r21600,l21600,xe">
                <v:stroke joinstyle="miter"/>
                <v:path gradientshapeok="t" o:connecttype="rect"/>
              </v:shapetype>
              <v:shape id="Text Box 2" o:spid="_x0000_s1026" type="#_x0000_t202" style="position:absolute;left:0;text-align:left;margin-left:170.2pt;margin-top:-60.2pt;width:120.4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" filled="f" stroked="f" strokeweight=".5pt">
                <v:textbox>
                  <w:txbxContent>
                    <w:p w14:paraId="08971875" w14:textId="491548E7" w:rsidR="00C453D3" w:rsidRDefault="00C453D3" w:rsidP="00C453D3">
                      <w:pPr>
                        <w:jc w:val="center"/>
                      </w:pPr>
                      <w:r>
                        <w:rPr>
                          <w:rFonts w:eastAsia="Times New Roman"/>
                          <w:b/>
                          <w:noProof/>
                          <w:color w:val="000000"/>
                        </w:rPr>
                        <w:drawing>
                          <wp:inline distT="0" distB="0" distL="0" distR="0" wp14:anchorId="509A9079" wp14:editId="54A54188">
                            <wp:extent cx="110490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22 at 1.26.53 PM.png"/>
                                    <pic:cNvPicPr/>
                                  </pic:nvPicPr>
                                  <pic:blipFill>
                                    <a:blip r:embed="rId7">
                                      <a:extLst>
                                        <a:ext uri="{28A0092B-C50C-407E-A947-70E740481C1C}">
                                          <a14:useLocalDpi xmlns:a14="http://schemas.microsoft.com/office/drawing/2010/main" val="0"/>
                                        </a:ext>
                                      </a:extLst>
                                    </a:blip>
                                    <a:stretch>
                                      <a:fillRect/>
                                    </a:stretch>
                                  </pic:blipFill>
                                  <pic:spPr>
                                    <a:xfrm>
                                      <a:off x="0" y="0"/>
                                      <a:ext cx="1104900" cy="825500"/>
                                    </a:xfrm>
                                    <a:prstGeom prst="rect">
                                      <a:avLst/>
                                    </a:prstGeom>
                                  </pic:spPr>
                                </pic:pic>
                              </a:graphicData>
                            </a:graphic>
                          </wp:inline>
                        </w:drawing>
                      </w:r>
                    </w:p>
                  </w:txbxContent>
                </v:textbox>
              </v:shape>
            </w:pict>
          </mc:Fallback>
        </mc:AlternateContent>
      </w:r>
      <w:r w:rsidRPr="00C453D3">
        <w:rPr>
          <w:rFonts w:eastAsia="Times New Roman"/>
          <w:b/>
          <w:color w:val="000000"/>
        </w:rPr>
        <w:t>The Coalition for Adolescent Girls Welcomes the House Introduction of t</w:t>
      </w:r>
      <w:bookmarkStart w:id="0" w:name="_GoBack"/>
      <w:bookmarkEnd w:id="0"/>
      <w:r w:rsidRPr="00C453D3">
        <w:rPr>
          <w:rFonts w:eastAsia="Times New Roman"/>
          <w:b/>
          <w:color w:val="000000"/>
        </w:rPr>
        <w:t xml:space="preserve">he Keeping Girls </w:t>
      </w:r>
      <w:proofErr w:type="gramStart"/>
      <w:r w:rsidRPr="00C453D3">
        <w:rPr>
          <w:rFonts w:eastAsia="Times New Roman"/>
          <w:b/>
          <w:color w:val="000000"/>
        </w:rPr>
        <w:t>In</w:t>
      </w:r>
      <w:proofErr w:type="gramEnd"/>
      <w:r w:rsidRPr="00C453D3">
        <w:rPr>
          <w:rFonts w:eastAsia="Times New Roman"/>
          <w:b/>
          <w:color w:val="000000"/>
        </w:rPr>
        <w:t xml:space="preserve"> School Act</w:t>
      </w:r>
    </w:p>
    <w:p w14:paraId="4FFAA755" w14:textId="77777777" w:rsidR="00C453D3" w:rsidRDefault="00C453D3" w:rsidP="00C849AA">
      <w:pPr>
        <w:pStyle w:val="NoSpacing"/>
        <w:rPr>
          <w:rFonts w:asciiTheme="majorHAnsi" w:hAnsiTheme="majorHAnsi" w:cstheme="majorHAnsi"/>
        </w:rPr>
      </w:pPr>
    </w:p>
    <w:p w14:paraId="06FD6CA1" w14:textId="1AE96860" w:rsidR="00C849AA" w:rsidRPr="006762A5" w:rsidRDefault="00C849AA" w:rsidP="00C849AA">
      <w:pPr>
        <w:pStyle w:val="NoSpacing"/>
        <w:rPr>
          <w:rFonts w:asciiTheme="majorHAnsi" w:hAnsiTheme="majorHAnsi" w:cstheme="majorHAnsi"/>
        </w:rPr>
      </w:pPr>
      <w:r w:rsidRPr="006762A5">
        <w:rPr>
          <w:rFonts w:asciiTheme="majorHAnsi" w:hAnsiTheme="majorHAnsi" w:cstheme="majorHAnsi"/>
        </w:rPr>
        <w:t xml:space="preserve">The Coalition for Adolescent Girls welcomes the bipartisan legislation introduced by </w:t>
      </w:r>
      <w:r w:rsidR="004F75C4">
        <w:rPr>
          <w:rFonts w:asciiTheme="majorHAnsi" w:hAnsiTheme="majorHAnsi" w:cstheme="majorHAnsi"/>
        </w:rPr>
        <w:t>Representative Frankel (D, FL</w:t>
      </w:r>
      <w:r w:rsidRPr="006762A5">
        <w:rPr>
          <w:rFonts w:asciiTheme="majorHAnsi" w:hAnsiTheme="majorHAnsi" w:cstheme="majorHAnsi"/>
        </w:rPr>
        <w:t>) an</w:t>
      </w:r>
      <w:r w:rsidR="004F75C4">
        <w:rPr>
          <w:rFonts w:asciiTheme="majorHAnsi" w:hAnsiTheme="majorHAnsi" w:cstheme="majorHAnsi"/>
        </w:rPr>
        <w:t>d Representative Brooks (R, IN</w:t>
      </w:r>
      <w:r w:rsidRPr="006762A5">
        <w:rPr>
          <w:rFonts w:asciiTheme="majorHAnsi" w:hAnsiTheme="majorHAnsi" w:cstheme="majorHAnsi"/>
        </w:rPr>
        <w:t xml:space="preserve">), titled the Keeping Girls in School Act. The bill is designed to </w:t>
      </w:r>
      <w:r w:rsidR="00443228" w:rsidRPr="006762A5">
        <w:rPr>
          <w:rFonts w:asciiTheme="majorHAnsi" w:hAnsiTheme="majorHAnsi" w:cstheme="majorHAnsi"/>
        </w:rPr>
        <w:t xml:space="preserve">ensure that U.S. foreign assistance </w:t>
      </w:r>
      <w:r w:rsidRPr="006762A5">
        <w:rPr>
          <w:rFonts w:asciiTheme="majorHAnsi" w:hAnsiTheme="majorHAnsi" w:cstheme="majorHAnsi"/>
        </w:rPr>
        <w:t>address</w:t>
      </w:r>
      <w:r w:rsidR="00443228" w:rsidRPr="006762A5">
        <w:rPr>
          <w:rFonts w:asciiTheme="majorHAnsi" w:hAnsiTheme="majorHAnsi" w:cstheme="majorHAnsi"/>
        </w:rPr>
        <w:t>es</w:t>
      </w:r>
      <w:r w:rsidRPr="006762A5">
        <w:rPr>
          <w:rFonts w:asciiTheme="majorHAnsi" w:hAnsiTheme="majorHAnsi" w:cstheme="majorHAnsi"/>
        </w:rPr>
        <w:t xml:space="preserve"> the barriers that</w:t>
      </w:r>
      <w:r w:rsidR="008D56B9">
        <w:rPr>
          <w:rFonts w:asciiTheme="majorHAnsi" w:hAnsiTheme="majorHAnsi" w:cstheme="majorHAnsi"/>
        </w:rPr>
        <w:t xml:space="preserve"> keep</w:t>
      </w:r>
      <w:r w:rsidRPr="006762A5">
        <w:rPr>
          <w:rFonts w:asciiTheme="majorHAnsi" w:hAnsiTheme="majorHAnsi" w:cstheme="majorHAnsi"/>
        </w:rPr>
        <w:t xml:space="preserve"> more than 130 million girls ages 6-17 globally who should be in school from </w:t>
      </w:r>
      <w:r w:rsidR="007352EE">
        <w:rPr>
          <w:rFonts w:asciiTheme="majorHAnsi" w:hAnsiTheme="majorHAnsi" w:cstheme="majorHAnsi"/>
        </w:rPr>
        <w:t>enrolling, attending, and graduating.</w:t>
      </w:r>
      <w:r w:rsidR="004F75C4">
        <w:rPr>
          <w:rFonts w:asciiTheme="majorHAnsi" w:hAnsiTheme="majorHAnsi" w:cstheme="majorHAnsi"/>
        </w:rPr>
        <w:t xml:space="preserve"> We are particularly grateful for the strong bipartisan support demonstrated by original cosponsors </w:t>
      </w:r>
      <w:r w:rsidR="004F75C4" w:rsidRPr="004F75C4">
        <w:rPr>
          <w:rFonts w:asciiTheme="majorHAnsi" w:hAnsiTheme="majorHAnsi" w:cstheme="majorHAnsi"/>
        </w:rPr>
        <w:t xml:space="preserve">Nita Lowey (D-NY), Dan Donovan (R-NY), Brian Fitzpatrick (R-PA), and Ami </w:t>
      </w:r>
      <w:proofErr w:type="spellStart"/>
      <w:r w:rsidR="004F75C4" w:rsidRPr="004F75C4">
        <w:rPr>
          <w:rFonts w:asciiTheme="majorHAnsi" w:hAnsiTheme="majorHAnsi" w:cstheme="majorHAnsi"/>
        </w:rPr>
        <w:t>Bera</w:t>
      </w:r>
      <w:proofErr w:type="spellEnd"/>
      <w:r w:rsidR="004F75C4" w:rsidRPr="004F75C4">
        <w:rPr>
          <w:rFonts w:asciiTheme="majorHAnsi" w:hAnsiTheme="majorHAnsi" w:cstheme="majorHAnsi"/>
        </w:rPr>
        <w:t xml:space="preserve"> (D-CA), the Keeping Girls in School Act is designed to harness the power of the U.S. Government to get at the root causes that keep more than 130 million girls globally, ages 6-17, from enrolling or attending school.</w:t>
      </w:r>
    </w:p>
    <w:p w14:paraId="433D0B2B" w14:textId="77777777" w:rsidR="00443228" w:rsidRPr="006762A5" w:rsidRDefault="00443228" w:rsidP="00C849AA">
      <w:pPr>
        <w:pStyle w:val="NoSpacing"/>
        <w:rPr>
          <w:rFonts w:asciiTheme="majorHAnsi" w:hAnsiTheme="majorHAnsi" w:cstheme="majorHAnsi"/>
        </w:rPr>
      </w:pPr>
    </w:p>
    <w:p w14:paraId="17E250AF" w14:textId="77777777" w:rsidR="00443228" w:rsidRPr="006762A5" w:rsidRDefault="00443228" w:rsidP="00222B92">
      <w:pPr>
        <w:pStyle w:val="NoSpacing"/>
        <w:rPr>
          <w:rFonts w:asciiTheme="majorHAnsi" w:hAnsiTheme="majorHAnsi" w:cstheme="majorHAnsi"/>
        </w:rPr>
      </w:pPr>
      <w:r w:rsidRPr="006762A5">
        <w:rPr>
          <w:rFonts w:asciiTheme="majorHAnsi" w:hAnsiTheme="majorHAnsi" w:cstheme="majorHAnsi"/>
        </w:rPr>
        <w:t xml:space="preserve">The Coalition for Adolescent Girls (CAG) </w:t>
      </w:r>
      <w:r w:rsidR="007352EE">
        <w:rPr>
          <w:rFonts w:asciiTheme="majorHAnsi" w:hAnsiTheme="majorHAnsi" w:cstheme="majorHAnsi"/>
        </w:rPr>
        <w:t xml:space="preserve">has reviewed this legislation, and </w:t>
      </w:r>
      <w:r w:rsidRPr="006762A5">
        <w:rPr>
          <w:rFonts w:asciiTheme="majorHAnsi" w:hAnsiTheme="majorHAnsi" w:cstheme="majorHAnsi"/>
        </w:rPr>
        <w:t xml:space="preserve">believes that the evidence presented in </w:t>
      </w:r>
      <w:r w:rsidR="00222B92">
        <w:rPr>
          <w:rFonts w:asciiTheme="majorHAnsi" w:hAnsiTheme="majorHAnsi" w:cstheme="majorHAnsi"/>
        </w:rPr>
        <w:t xml:space="preserve">the findings section of </w:t>
      </w:r>
      <w:r w:rsidRPr="006762A5">
        <w:rPr>
          <w:rFonts w:asciiTheme="majorHAnsi" w:hAnsiTheme="majorHAnsi" w:cstheme="majorHAnsi"/>
        </w:rPr>
        <w:t>Keeping Girls in School is consistent with the research and programmatic ev</w:t>
      </w:r>
      <w:r w:rsidR="007352EE">
        <w:rPr>
          <w:rFonts w:asciiTheme="majorHAnsi" w:hAnsiTheme="majorHAnsi" w:cstheme="majorHAnsi"/>
        </w:rPr>
        <w:t>idence presented by CAG members and the need to address barriers facing girls in accessing education.</w:t>
      </w:r>
      <w:r w:rsidRPr="006762A5">
        <w:rPr>
          <w:rFonts w:asciiTheme="majorHAnsi" w:hAnsiTheme="majorHAnsi" w:cstheme="majorHAnsi"/>
        </w:rPr>
        <w:t xml:space="preserve"> While education is a human right in and of itself, we also know that education can further the access and realization of other human rights, particularly for girls. </w:t>
      </w:r>
      <w:r w:rsidR="00C45992" w:rsidRPr="006762A5">
        <w:rPr>
          <w:rFonts w:asciiTheme="majorHAnsi" w:hAnsiTheme="majorHAnsi" w:cstheme="majorHAnsi"/>
        </w:rPr>
        <w:t>We commend the Representatives for recognizing the power and potential of girls, particularly when given access to quality secondary education.</w:t>
      </w:r>
    </w:p>
    <w:p w14:paraId="603DF7CE" w14:textId="77777777" w:rsidR="006762A5" w:rsidRPr="006762A5" w:rsidRDefault="006762A5" w:rsidP="00C849AA">
      <w:pPr>
        <w:pStyle w:val="NoSpacing"/>
        <w:rPr>
          <w:rFonts w:asciiTheme="majorHAnsi" w:hAnsiTheme="majorHAnsi" w:cstheme="majorHAnsi"/>
        </w:rPr>
      </w:pPr>
    </w:p>
    <w:p w14:paraId="44587673" w14:textId="77777777" w:rsidR="006762A5" w:rsidRDefault="00EB2AC6" w:rsidP="006762A5">
      <w:pPr>
        <w:rPr>
          <w:rFonts w:asciiTheme="majorHAnsi" w:eastAsia="Times New Roman" w:hAnsiTheme="majorHAnsi" w:cstheme="majorHAnsi"/>
        </w:rPr>
      </w:pPr>
      <w:r>
        <w:rPr>
          <w:rFonts w:asciiTheme="majorHAnsi" w:eastAsia="Times New Roman" w:hAnsiTheme="majorHAnsi" w:cstheme="majorHAnsi"/>
        </w:rPr>
        <w:t xml:space="preserve">As the legislation notes, there are myriad obstacles facing girls in accessing education, </w:t>
      </w:r>
      <w:r w:rsidR="006762A5" w:rsidRPr="006762A5">
        <w:rPr>
          <w:rFonts w:asciiTheme="majorHAnsi" w:eastAsia="Times New Roman" w:hAnsiTheme="majorHAnsi" w:cstheme="majorHAnsi"/>
        </w:rPr>
        <w:t>such as child marriage, safety in and on the way to school, and harmful social norms that prioritize boys’ education over that of girls’.</w:t>
      </w:r>
      <w:r w:rsidR="00CA06A0">
        <w:rPr>
          <w:rFonts w:asciiTheme="majorHAnsi" w:eastAsia="Times New Roman" w:hAnsiTheme="majorHAnsi" w:cstheme="majorHAnsi"/>
        </w:rPr>
        <w:t xml:space="preserve"> </w:t>
      </w:r>
      <w:r w:rsidRPr="006762A5">
        <w:rPr>
          <w:rFonts w:asciiTheme="majorHAnsi" w:eastAsia="Times New Roman" w:hAnsiTheme="majorHAnsi" w:cstheme="majorHAnsi"/>
        </w:rPr>
        <w:t xml:space="preserve">This legislation brings critical attention to the barriers girls face in accessing education, </w:t>
      </w:r>
      <w:r w:rsidR="006762A5" w:rsidRPr="006762A5">
        <w:rPr>
          <w:rFonts w:asciiTheme="majorHAnsi" w:eastAsia="Times New Roman" w:hAnsiTheme="majorHAnsi" w:cstheme="majorHAnsi"/>
        </w:rPr>
        <w:t xml:space="preserve">particularly </w:t>
      </w:r>
      <w:r>
        <w:rPr>
          <w:rFonts w:asciiTheme="majorHAnsi" w:eastAsia="Times New Roman" w:hAnsiTheme="majorHAnsi" w:cstheme="majorHAnsi"/>
        </w:rPr>
        <w:t xml:space="preserve">those barriers faced </w:t>
      </w:r>
      <w:r w:rsidR="006762A5" w:rsidRPr="006762A5">
        <w:rPr>
          <w:rFonts w:asciiTheme="majorHAnsi" w:eastAsia="Times New Roman" w:hAnsiTheme="majorHAnsi" w:cstheme="majorHAnsi"/>
        </w:rPr>
        <w:t>at the secondary level, a time when adolescent girls are most at risk of dropping out of school. Choices made in adolescence have life-long consequences. A girl who is able to remain in a quality educational setting and complete secondary school is much more likely to delay the age at which she is married, has children, and is better able to participate in economic opportunities that will strengthen her future well-being. The CAG is particularly happy to see the requirement of a global strategy to empower adolescent girls, which the U.S. Global Strategy to Empower Adolescent Girls shall fulfill</w:t>
      </w:r>
      <w:r w:rsidR="00CA06A0">
        <w:rPr>
          <w:rFonts w:asciiTheme="majorHAnsi" w:eastAsia="Times New Roman" w:hAnsiTheme="majorHAnsi" w:cstheme="majorHAnsi"/>
        </w:rPr>
        <w:t xml:space="preserve">, which our members have </w:t>
      </w:r>
      <w:hyperlink r:id="rId8" w:history="1">
        <w:r w:rsidR="00CA06A0" w:rsidRPr="00CA06A0">
          <w:rPr>
            <w:rStyle w:val="Hyperlink"/>
            <w:rFonts w:asciiTheme="majorHAnsi" w:eastAsia="Times New Roman" w:hAnsiTheme="majorHAnsi" w:cstheme="majorHAnsi"/>
          </w:rPr>
          <w:t>previously supported</w:t>
        </w:r>
      </w:hyperlink>
      <w:r w:rsidR="00CA06A0">
        <w:rPr>
          <w:rFonts w:asciiTheme="majorHAnsi" w:eastAsia="Times New Roman" w:hAnsiTheme="majorHAnsi" w:cstheme="majorHAnsi"/>
        </w:rPr>
        <w:t xml:space="preserve">. </w:t>
      </w:r>
    </w:p>
    <w:p w14:paraId="10C4E0BD" w14:textId="7348C0B1" w:rsidR="00915282" w:rsidRDefault="00915282" w:rsidP="006762A5">
      <w:pPr>
        <w:rPr>
          <w:rFonts w:asciiTheme="majorHAnsi" w:eastAsia="Times New Roman" w:hAnsiTheme="majorHAnsi" w:cstheme="majorHAnsi"/>
        </w:rPr>
      </w:pPr>
    </w:p>
    <w:p w14:paraId="6BEE66A8" w14:textId="77777777" w:rsidR="00222B92" w:rsidRDefault="00915282" w:rsidP="00915282">
      <w:pPr>
        <w:rPr>
          <w:rFonts w:asciiTheme="majorHAnsi" w:eastAsia="Times New Roman" w:hAnsiTheme="majorHAnsi" w:cstheme="majorHAnsi"/>
        </w:rPr>
      </w:pPr>
      <w:r w:rsidRPr="00915282">
        <w:rPr>
          <w:rFonts w:asciiTheme="majorHAnsi" w:eastAsia="Times New Roman" w:hAnsiTheme="majorHAnsi" w:cstheme="majorHAnsi"/>
        </w:rPr>
        <w:t xml:space="preserve">This bill </w:t>
      </w:r>
      <w:r w:rsidR="00222B92">
        <w:rPr>
          <w:rFonts w:asciiTheme="majorHAnsi" w:eastAsia="Times New Roman" w:hAnsiTheme="majorHAnsi" w:cstheme="majorHAnsi"/>
        </w:rPr>
        <w:t>includes authorization for the</w:t>
      </w:r>
      <w:r w:rsidR="00222B92" w:rsidRPr="00222B92">
        <w:rPr>
          <w:rFonts w:asciiTheme="majorHAnsi" w:eastAsia="Times New Roman" w:hAnsiTheme="majorHAnsi" w:cstheme="majorHAnsi"/>
        </w:rPr>
        <w:t xml:space="preserve"> Administrator of the United States Agency for International Development </w:t>
      </w:r>
      <w:r w:rsidR="00222B92">
        <w:rPr>
          <w:rFonts w:asciiTheme="majorHAnsi" w:eastAsia="Times New Roman" w:hAnsiTheme="majorHAnsi" w:cstheme="majorHAnsi"/>
        </w:rPr>
        <w:t>to</w:t>
      </w:r>
      <w:r w:rsidR="00222B92" w:rsidRPr="00222B92">
        <w:rPr>
          <w:rFonts w:asciiTheme="majorHAnsi" w:eastAsia="Times New Roman" w:hAnsiTheme="majorHAnsi" w:cstheme="majorHAnsi"/>
        </w:rPr>
        <w:t xml:space="preserve"> enter into acquisition, assistance, or results-based financing agreements, including agreements combining more than one such feature, for activities addressing the barriers</w:t>
      </w:r>
      <w:r w:rsidR="00222B92">
        <w:rPr>
          <w:rFonts w:asciiTheme="majorHAnsi" w:eastAsia="Times New Roman" w:hAnsiTheme="majorHAnsi" w:cstheme="majorHAnsi"/>
        </w:rPr>
        <w:t xml:space="preserve"> facing girls in obtaining quality education, paired with </w:t>
      </w:r>
      <w:r w:rsidR="00222B92" w:rsidRPr="00222B92">
        <w:rPr>
          <w:rFonts w:asciiTheme="majorHAnsi" w:eastAsia="Times New Roman" w:hAnsiTheme="majorHAnsi" w:cstheme="majorHAnsi"/>
        </w:rPr>
        <w:t>transparent results that are verified by an inde</w:t>
      </w:r>
      <w:r w:rsidR="00222B92">
        <w:rPr>
          <w:rFonts w:asciiTheme="majorHAnsi" w:eastAsia="Times New Roman" w:hAnsiTheme="majorHAnsi" w:cstheme="majorHAnsi"/>
        </w:rPr>
        <w:t>pendent and empowered evaluator. Critically, the bill builds on existing strategies and frameworks to ensure coherence across USAID and</w:t>
      </w:r>
      <w:r w:rsidR="00044438">
        <w:rPr>
          <w:rFonts w:asciiTheme="majorHAnsi" w:eastAsia="Times New Roman" w:hAnsiTheme="majorHAnsi" w:cstheme="majorHAnsi"/>
        </w:rPr>
        <w:t xml:space="preserve"> the</w:t>
      </w:r>
      <w:r w:rsidR="00222B92">
        <w:rPr>
          <w:rFonts w:asciiTheme="majorHAnsi" w:eastAsia="Times New Roman" w:hAnsiTheme="majorHAnsi" w:cstheme="majorHAnsi"/>
        </w:rPr>
        <w:t xml:space="preserve"> U.S. Department of State efforts, alongside interagency coordination of efforts.</w:t>
      </w:r>
    </w:p>
    <w:p w14:paraId="1B92A394" w14:textId="77777777" w:rsidR="006762A5" w:rsidRPr="006762A5" w:rsidRDefault="006762A5" w:rsidP="00C849AA">
      <w:pPr>
        <w:pStyle w:val="NoSpacing"/>
        <w:rPr>
          <w:rFonts w:asciiTheme="majorHAnsi" w:hAnsiTheme="majorHAnsi" w:cstheme="majorHAnsi"/>
        </w:rPr>
      </w:pPr>
    </w:p>
    <w:p w14:paraId="639A13BE" w14:textId="77777777" w:rsidR="00443228" w:rsidRPr="006762A5" w:rsidRDefault="00443228" w:rsidP="00C849AA">
      <w:pPr>
        <w:pStyle w:val="NoSpacing"/>
        <w:rPr>
          <w:rFonts w:asciiTheme="majorHAnsi" w:hAnsiTheme="majorHAnsi" w:cstheme="majorHAnsi"/>
        </w:rPr>
      </w:pPr>
      <w:r w:rsidRPr="006762A5">
        <w:rPr>
          <w:rFonts w:asciiTheme="majorHAnsi" w:hAnsiTheme="majorHAnsi" w:cstheme="majorHAnsi"/>
          <w:b/>
        </w:rPr>
        <w:t>*About the Coalition for Adolescent Girls</w:t>
      </w:r>
      <w:r w:rsidRPr="006762A5">
        <w:rPr>
          <w:rFonts w:asciiTheme="majorHAnsi" w:hAnsiTheme="majorHAnsi" w:cstheme="majorHAnsi"/>
        </w:rPr>
        <w:t xml:space="preserve"> </w:t>
      </w:r>
    </w:p>
    <w:p w14:paraId="28F45BF5" w14:textId="2610A2AF" w:rsidR="00443228" w:rsidRDefault="00443228" w:rsidP="00C849AA">
      <w:pPr>
        <w:pStyle w:val="NoSpacing"/>
        <w:rPr>
          <w:rFonts w:asciiTheme="majorHAnsi" w:hAnsiTheme="majorHAnsi" w:cstheme="majorHAnsi"/>
        </w:rPr>
      </w:pPr>
      <w:r w:rsidRPr="006762A5">
        <w:rPr>
          <w:rFonts w:asciiTheme="majorHAnsi" w:hAnsiTheme="majorHAnsi" w:cstheme="majorHAnsi"/>
        </w:rPr>
        <w:t xml:space="preserve">The Coalition for Adolescent Girls (CAG) includes more than 80 organizations committed to working together on research, program implementation, policy and advocacy with and for adolescent girls. The CAG provides a unique platform for organizations to share information, tools, and resources; to find points of intersection and opportunities for collaboration; build technical capacity; and to strategize on best practices. For more information about the Coalition for Adolescent Girls, please email our Steering Committee at </w:t>
      </w:r>
      <w:hyperlink r:id="rId9" w:history="1">
        <w:r w:rsidRPr="006762A5">
          <w:rPr>
            <w:rStyle w:val="Hyperlink"/>
            <w:rFonts w:asciiTheme="majorHAnsi" w:hAnsiTheme="majorHAnsi" w:cstheme="majorHAnsi"/>
          </w:rPr>
          <w:t>cagsteeringcommittee@gmail.com</w:t>
        </w:r>
      </w:hyperlink>
      <w:r w:rsidRPr="006762A5">
        <w:rPr>
          <w:rFonts w:asciiTheme="majorHAnsi" w:hAnsiTheme="majorHAnsi" w:cstheme="majorHAnsi"/>
        </w:rPr>
        <w:t xml:space="preserve"> </w:t>
      </w:r>
    </w:p>
    <w:p w14:paraId="673DD0B7" w14:textId="497CDEB6" w:rsidR="00D95FF6" w:rsidRDefault="00D95FF6" w:rsidP="00C849AA">
      <w:pPr>
        <w:pStyle w:val="NoSpacing"/>
        <w:rPr>
          <w:rFonts w:asciiTheme="majorHAnsi" w:hAnsiTheme="majorHAnsi" w:cstheme="majorHAnsi"/>
        </w:rPr>
      </w:pPr>
    </w:p>
    <w:p w14:paraId="5678CAFA" w14:textId="730FB102" w:rsidR="00D95FF6" w:rsidRDefault="00D95FF6" w:rsidP="00C849AA">
      <w:pPr>
        <w:pStyle w:val="NoSpacing"/>
        <w:rPr>
          <w:rFonts w:asciiTheme="majorHAnsi" w:hAnsiTheme="majorHAnsi" w:cstheme="majorHAnsi"/>
        </w:rPr>
      </w:pPr>
    </w:p>
    <w:p w14:paraId="3C0691E9" w14:textId="63187EF8" w:rsidR="00D95FF6" w:rsidRDefault="00D95FF6" w:rsidP="00C849AA">
      <w:pPr>
        <w:pStyle w:val="NoSpacing"/>
        <w:rPr>
          <w:rFonts w:asciiTheme="majorHAnsi" w:hAnsiTheme="majorHAnsi" w:cstheme="majorHAnsi"/>
        </w:rPr>
      </w:pPr>
    </w:p>
    <w:p w14:paraId="3DCBDC71" w14:textId="77777777" w:rsidR="00D95FF6" w:rsidRPr="006762A5" w:rsidRDefault="00D95FF6" w:rsidP="00C849AA">
      <w:pPr>
        <w:pStyle w:val="NoSpacing"/>
        <w:rPr>
          <w:rFonts w:asciiTheme="majorHAnsi" w:hAnsiTheme="majorHAnsi" w:cstheme="majorHAnsi"/>
        </w:rPr>
      </w:pPr>
    </w:p>
    <w:p w14:paraId="41788A1D" w14:textId="0862C52F" w:rsidR="00443228" w:rsidRPr="0059759F" w:rsidRDefault="00443228" w:rsidP="00C849AA">
      <w:pPr>
        <w:pStyle w:val="NoSpacing"/>
        <w:rPr>
          <w:u w:val="single"/>
        </w:rPr>
      </w:pPr>
    </w:p>
    <w:p w14:paraId="078803E0" w14:textId="548DF81F" w:rsidR="0059759F" w:rsidRPr="0059759F" w:rsidRDefault="0059759F" w:rsidP="0059759F">
      <w:pPr>
        <w:pStyle w:val="NoSpacing"/>
        <w:rPr>
          <w:rFonts w:asciiTheme="majorHAnsi" w:hAnsiTheme="majorHAnsi" w:cstheme="majorHAnsi"/>
          <w:b/>
          <w:u w:val="single"/>
        </w:rPr>
      </w:pPr>
      <w:r w:rsidRPr="0059759F">
        <w:rPr>
          <w:rFonts w:asciiTheme="majorHAnsi" w:hAnsiTheme="majorHAnsi" w:cstheme="majorHAnsi"/>
          <w:b/>
          <w:u w:val="single"/>
        </w:rPr>
        <w:t>List of Supporting Organizations:</w:t>
      </w:r>
    </w:p>
    <w:p w14:paraId="035A4546" w14:textId="77777777" w:rsidR="0059759F" w:rsidRPr="0059759F" w:rsidRDefault="0059759F" w:rsidP="0059759F">
      <w:pPr>
        <w:pStyle w:val="NoSpacing"/>
        <w:rPr>
          <w:rFonts w:asciiTheme="majorHAnsi" w:hAnsiTheme="majorHAnsi" w:cstheme="majorHAnsi"/>
        </w:rPr>
      </w:pPr>
    </w:p>
    <w:p w14:paraId="2E39F9ED" w14:textId="77777777" w:rsidR="0059759F" w:rsidRDefault="0059759F" w:rsidP="0059759F">
      <w:pPr>
        <w:pStyle w:val="NoSpacing"/>
        <w:numPr>
          <w:ilvl w:val="0"/>
          <w:numId w:val="6"/>
        </w:numPr>
        <w:jc w:val="both"/>
        <w:rPr>
          <w:rFonts w:asciiTheme="majorHAnsi" w:hAnsiTheme="majorHAnsi" w:cstheme="majorHAnsi"/>
        </w:rPr>
        <w:sectPr w:rsidR="0059759F">
          <w:pgSz w:w="12240" w:h="15840"/>
          <w:pgMar w:top="1440" w:right="1440" w:bottom="1440" w:left="1440" w:header="720" w:footer="720" w:gutter="0"/>
          <w:cols w:space="720"/>
          <w:docGrid w:linePitch="360"/>
        </w:sectPr>
      </w:pPr>
    </w:p>
    <w:p w14:paraId="6699EBAA" w14:textId="3EFA952F"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 xml:space="preserve">4Girls </w:t>
      </w:r>
      <w:proofErr w:type="spellStart"/>
      <w:r w:rsidRPr="0059759F">
        <w:rPr>
          <w:rFonts w:asciiTheme="majorHAnsi" w:hAnsiTheme="majorHAnsi" w:cstheme="majorHAnsi"/>
        </w:rPr>
        <w:t>GLocal</w:t>
      </w:r>
      <w:proofErr w:type="spellEnd"/>
      <w:r w:rsidRPr="0059759F">
        <w:rPr>
          <w:rFonts w:asciiTheme="majorHAnsi" w:hAnsiTheme="majorHAnsi" w:cstheme="majorHAnsi"/>
        </w:rPr>
        <w:t xml:space="preserve"> Leadership (4GGL)</w:t>
      </w:r>
    </w:p>
    <w:p w14:paraId="33CDB933" w14:textId="66FC56BC" w:rsidR="0059759F" w:rsidRPr="00D95FF6" w:rsidRDefault="0059759F" w:rsidP="00D95FF6">
      <w:pPr>
        <w:pStyle w:val="NoSpacing"/>
        <w:numPr>
          <w:ilvl w:val="0"/>
          <w:numId w:val="6"/>
        </w:numPr>
        <w:jc w:val="both"/>
        <w:rPr>
          <w:rFonts w:asciiTheme="majorHAnsi" w:hAnsiTheme="majorHAnsi" w:cstheme="majorHAnsi"/>
        </w:rPr>
      </w:pPr>
      <w:r w:rsidRPr="0059759F">
        <w:rPr>
          <w:rFonts w:asciiTheme="majorHAnsi" w:hAnsiTheme="majorHAnsi" w:cstheme="majorHAnsi"/>
        </w:rPr>
        <w:t>Advocates for Youth</w:t>
      </w:r>
    </w:p>
    <w:p w14:paraId="31B9E6BA" w14:textId="5A1A08BA"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African Solutions to African Problems</w:t>
      </w:r>
    </w:p>
    <w:p w14:paraId="43D52CCF"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Aflatoun</w:t>
      </w:r>
      <w:proofErr w:type="spellEnd"/>
    </w:p>
    <w:p w14:paraId="6424E6BA"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AGE Africa</w:t>
      </w:r>
    </w:p>
    <w:p w14:paraId="76B44C20"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AJWS</w:t>
      </w:r>
    </w:p>
    <w:p w14:paraId="7DD970AA"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Be Girl</w:t>
      </w:r>
    </w:p>
    <w:p w14:paraId="19C43281"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BRAC</w:t>
      </w:r>
    </w:p>
    <w:p w14:paraId="16D24560"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CARE</w:t>
      </w:r>
    </w:p>
    <w:p w14:paraId="1BBC246E"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Child and Youth Finance International</w:t>
      </w:r>
    </w:p>
    <w:p w14:paraId="1BCE5E6A"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ChildFund</w:t>
      </w:r>
      <w:proofErr w:type="spellEnd"/>
      <w:r w:rsidRPr="0059759F">
        <w:rPr>
          <w:rFonts w:asciiTheme="majorHAnsi" w:hAnsiTheme="majorHAnsi" w:cstheme="majorHAnsi"/>
        </w:rPr>
        <w:t xml:space="preserve"> International</w:t>
      </w:r>
    </w:p>
    <w:p w14:paraId="5708C2CD"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ChildVoice</w:t>
      </w:r>
      <w:proofErr w:type="spellEnd"/>
      <w:r w:rsidRPr="0059759F">
        <w:rPr>
          <w:rFonts w:asciiTheme="majorHAnsi" w:hAnsiTheme="majorHAnsi" w:cstheme="majorHAnsi"/>
        </w:rPr>
        <w:t xml:space="preserve"> International</w:t>
      </w:r>
    </w:p>
    <w:p w14:paraId="06261874"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Educate Girls</w:t>
      </w:r>
    </w:p>
    <w:p w14:paraId="7E84D5C8"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Education for Equality International</w:t>
      </w:r>
    </w:p>
    <w:p w14:paraId="490A49F9"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Equality Now</w:t>
      </w:r>
    </w:p>
    <w:p w14:paraId="2AC4BA16"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Every Mother Counts</w:t>
      </w:r>
    </w:p>
    <w:p w14:paraId="5823B5A8"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FHI 360</w:t>
      </w:r>
    </w:p>
    <w:p w14:paraId="6CFCDBCC"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Freely in Hope</w:t>
      </w:r>
    </w:p>
    <w:p w14:paraId="3B892549"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Futures Without Violence</w:t>
      </w:r>
    </w:p>
    <w:p w14:paraId="176824E2"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GADeF</w:t>
      </w:r>
      <w:proofErr w:type="spellEnd"/>
    </w:p>
    <w:p w14:paraId="115BB0E5"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GirlForward</w:t>
      </w:r>
      <w:proofErr w:type="spellEnd"/>
    </w:p>
    <w:p w14:paraId="059DFCEA"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Girl Effect</w:t>
      </w:r>
    </w:p>
    <w:p w14:paraId="18FC4792"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Girls Thinking Global</w:t>
      </w:r>
    </w:p>
    <w:p w14:paraId="2152661C"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Girl Scouts</w:t>
      </w:r>
    </w:p>
    <w:p w14:paraId="7124113E"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Girls Learn International</w:t>
      </w:r>
    </w:p>
    <w:p w14:paraId="0FB665E5"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Global Fund for Children</w:t>
      </w:r>
    </w:p>
    <w:p w14:paraId="636FCB18"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GreeneWorks</w:t>
      </w:r>
      <w:proofErr w:type="spellEnd"/>
    </w:p>
    <w:p w14:paraId="52CF4DCE"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GWU’s Global Women’s Institute</w:t>
      </w:r>
    </w:p>
    <w:p w14:paraId="75E8BBDD"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Haiti Adolescent Girls Network</w:t>
      </w:r>
    </w:p>
    <w:p w14:paraId="7C7BF9EE"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Harpswell</w:t>
      </w:r>
      <w:proofErr w:type="spellEnd"/>
      <w:r w:rsidRPr="0059759F">
        <w:rPr>
          <w:rFonts w:asciiTheme="majorHAnsi" w:hAnsiTheme="majorHAnsi" w:cstheme="majorHAnsi"/>
        </w:rPr>
        <w:t xml:space="preserve"> Foundation</w:t>
      </w:r>
    </w:p>
    <w:p w14:paraId="3B3007FD"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International Center for Research on Women</w:t>
      </w:r>
    </w:p>
    <w:p w14:paraId="3CAF375F"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International Rescue Committee</w:t>
      </w:r>
    </w:p>
    <w:p w14:paraId="28EC15C6"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International Women’s Health Coalition</w:t>
      </w:r>
    </w:p>
    <w:p w14:paraId="040C13BE"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International Youth Foundation</w:t>
      </w:r>
    </w:p>
    <w:p w14:paraId="5E5E0616"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IPPF/WHR</w:t>
      </w:r>
    </w:p>
    <w:p w14:paraId="581C5E52"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Institute for Reproductive Health</w:t>
      </w:r>
    </w:p>
    <w:p w14:paraId="535B51F2"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John Snow, Inc.</w:t>
      </w:r>
    </w:p>
    <w:p w14:paraId="716388CD"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Just Like My Child Foundation</w:t>
      </w:r>
    </w:p>
    <w:p w14:paraId="12842327"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Kakenya’s</w:t>
      </w:r>
      <w:proofErr w:type="spellEnd"/>
      <w:r w:rsidRPr="0059759F">
        <w:rPr>
          <w:rFonts w:asciiTheme="majorHAnsi" w:hAnsiTheme="majorHAnsi" w:cstheme="majorHAnsi"/>
        </w:rPr>
        <w:t xml:space="preserve"> Dream</w:t>
      </w:r>
    </w:p>
    <w:p w14:paraId="72453A40"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Komera</w:t>
      </w:r>
      <w:proofErr w:type="spellEnd"/>
      <w:r w:rsidRPr="0059759F">
        <w:rPr>
          <w:rFonts w:asciiTheme="majorHAnsi" w:hAnsiTheme="majorHAnsi" w:cstheme="majorHAnsi"/>
        </w:rPr>
        <w:t xml:space="preserve"> Project</w:t>
      </w:r>
    </w:p>
    <w:p w14:paraId="64D89419"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Let Girls Lead</w:t>
      </w:r>
    </w:p>
    <w:p w14:paraId="63B65DD1"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Lwala</w:t>
      </w:r>
      <w:proofErr w:type="spellEnd"/>
      <w:r w:rsidRPr="0059759F">
        <w:rPr>
          <w:rFonts w:asciiTheme="majorHAnsi" w:hAnsiTheme="majorHAnsi" w:cstheme="majorHAnsi"/>
        </w:rPr>
        <w:t xml:space="preserve"> Community Alliance</w:t>
      </w:r>
    </w:p>
    <w:p w14:paraId="663A19DA"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Maasai Girls Education Fund</w:t>
      </w:r>
    </w:p>
    <w:p w14:paraId="5DFEB4DB"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Making Cents International</w:t>
      </w:r>
    </w:p>
    <w:p w14:paraId="6AA337CC"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Mercy Corps</w:t>
      </w:r>
    </w:p>
    <w:p w14:paraId="12A06E5F"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Milaan</w:t>
      </w:r>
      <w:proofErr w:type="spellEnd"/>
      <w:r w:rsidRPr="0059759F">
        <w:rPr>
          <w:rFonts w:asciiTheme="majorHAnsi" w:hAnsiTheme="majorHAnsi" w:cstheme="majorHAnsi"/>
        </w:rPr>
        <w:t xml:space="preserve"> Foundation</w:t>
      </w:r>
    </w:p>
    <w:p w14:paraId="2FB6DD26"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Pathfinder International</w:t>
      </w:r>
    </w:p>
    <w:p w14:paraId="154EBBD8"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Plan International USA</w:t>
      </w:r>
    </w:p>
    <w:p w14:paraId="08891A6C"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Population Council</w:t>
      </w:r>
    </w:p>
    <w:p w14:paraId="0EC7699E"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Population Reference Bureau</w:t>
      </w:r>
    </w:p>
    <w:p w14:paraId="132B97B6"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Population Services International</w:t>
      </w:r>
    </w:p>
    <w:p w14:paraId="0A67D545"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RefuSHE</w:t>
      </w:r>
      <w:proofErr w:type="spellEnd"/>
    </w:p>
    <w:p w14:paraId="4C6D7BBA"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Restless Development</w:t>
      </w:r>
    </w:p>
    <w:p w14:paraId="1F30693C"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Sacred Valley Project</w:t>
      </w:r>
    </w:p>
    <w:p w14:paraId="1F41F465"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Save the Children</w:t>
      </w:r>
    </w:p>
    <w:p w14:paraId="4049991D"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Shadhika</w:t>
      </w:r>
      <w:proofErr w:type="spellEnd"/>
    </w:p>
    <w:p w14:paraId="6283BFE1"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Starfish</w:t>
      </w:r>
    </w:p>
    <w:p w14:paraId="069C9A30"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United Nations Foundation</w:t>
      </w:r>
    </w:p>
    <w:p w14:paraId="40D3CC46"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What Works Association</w:t>
      </w:r>
    </w:p>
    <w:p w14:paraId="1850730C"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Winrock</w:t>
      </w:r>
      <w:proofErr w:type="spellEnd"/>
      <w:r w:rsidRPr="0059759F">
        <w:rPr>
          <w:rFonts w:asciiTheme="majorHAnsi" w:hAnsiTheme="majorHAnsi" w:cstheme="majorHAnsi"/>
        </w:rPr>
        <w:t xml:space="preserve"> International</w:t>
      </w:r>
    </w:p>
    <w:p w14:paraId="60C0C160" w14:textId="77777777" w:rsidR="0059759F" w:rsidRPr="0059759F" w:rsidRDefault="0059759F" w:rsidP="0059759F">
      <w:pPr>
        <w:pStyle w:val="NoSpacing"/>
        <w:numPr>
          <w:ilvl w:val="0"/>
          <w:numId w:val="6"/>
        </w:numPr>
        <w:jc w:val="both"/>
        <w:rPr>
          <w:rFonts w:asciiTheme="majorHAnsi" w:hAnsiTheme="majorHAnsi" w:cstheme="majorHAnsi"/>
        </w:rPr>
      </w:pPr>
      <w:proofErr w:type="spellStart"/>
      <w:r w:rsidRPr="0059759F">
        <w:rPr>
          <w:rFonts w:asciiTheme="majorHAnsi" w:hAnsiTheme="majorHAnsi" w:cstheme="majorHAnsi"/>
        </w:rPr>
        <w:t>WomenStrong</w:t>
      </w:r>
      <w:proofErr w:type="spellEnd"/>
      <w:r w:rsidRPr="0059759F">
        <w:rPr>
          <w:rFonts w:asciiTheme="majorHAnsi" w:hAnsiTheme="majorHAnsi" w:cstheme="majorHAnsi"/>
        </w:rPr>
        <w:t xml:space="preserve"> International</w:t>
      </w:r>
    </w:p>
    <w:p w14:paraId="5DC77357"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World Education, Inc.</w:t>
      </w:r>
    </w:p>
    <w:p w14:paraId="47A0A6EC"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Women’s Global Education Project</w:t>
      </w:r>
    </w:p>
    <w:p w14:paraId="79308F29"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Women’s Refugee Commission</w:t>
      </w:r>
    </w:p>
    <w:p w14:paraId="56F11985" w14:textId="77777777"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Women’s World Banking</w:t>
      </w:r>
    </w:p>
    <w:p w14:paraId="5033576B" w14:textId="7A6CE671" w:rsidR="0059759F" w:rsidRPr="0059759F" w:rsidRDefault="0059759F" w:rsidP="0059759F">
      <w:pPr>
        <w:pStyle w:val="NoSpacing"/>
        <w:numPr>
          <w:ilvl w:val="0"/>
          <w:numId w:val="6"/>
        </w:numPr>
        <w:jc w:val="both"/>
        <w:rPr>
          <w:rFonts w:asciiTheme="majorHAnsi" w:hAnsiTheme="majorHAnsi" w:cstheme="majorHAnsi"/>
        </w:rPr>
      </w:pPr>
      <w:r w:rsidRPr="0059759F">
        <w:rPr>
          <w:rFonts w:asciiTheme="majorHAnsi" w:hAnsiTheme="majorHAnsi" w:cstheme="majorHAnsi"/>
        </w:rPr>
        <w:t>Zana Africa Foundation</w:t>
      </w:r>
    </w:p>
    <w:sectPr w:rsidR="0059759F" w:rsidRPr="0059759F" w:rsidSect="0059759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5A6D8" w14:textId="77777777" w:rsidR="00F11B52" w:rsidRDefault="00F11B52" w:rsidP="00C453D3">
      <w:r>
        <w:separator/>
      </w:r>
    </w:p>
  </w:endnote>
  <w:endnote w:type="continuationSeparator" w:id="0">
    <w:p w14:paraId="708A1945" w14:textId="77777777" w:rsidR="00F11B52" w:rsidRDefault="00F11B52" w:rsidP="00C4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3C19" w14:textId="77777777" w:rsidR="00F11B52" w:rsidRDefault="00F11B52" w:rsidP="00C453D3">
      <w:r>
        <w:separator/>
      </w:r>
    </w:p>
  </w:footnote>
  <w:footnote w:type="continuationSeparator" w:id="0">
    <w:p w14:paraId="504BE1B9" w14:textId="77777777" w:rsidR="00F11B52" w:rsidRDefault="00F11B52" w:rsidP="00C4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751"/>
    <w:multiLevelType w:val="multilevel"/>
    <w:tmpl w:val="B81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33472"/>
    <w:multiLevelType w:val="multilevel"/>
    <w:tmpl w:val="7752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66BAC"/>
    <w:multiLevelType w:val="multilevel"/>
    <w:tmpl w:val="FC222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63AE4"/>
    <w:multiLevelType w:val="hybridMultilevel"/>
    <w:tmpl w:val="1E840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E3B47"/>
    <w:multiLevelType w:val="multilevel"/>
    <w:tmpl w:val="A8D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344AF"/>
    <w:multiLevelType w:val="hybridMultilevel"/>
    <w:tmpl w:val="90F2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AA"/>
    <w:rsid w:val="00044438"/>
    <w:rsid w:val="000F2489"/>
    <w:rsid w:val="00222B92"/>
    <w:rsid w:val="0024586D"/>
    <w:rsid w:val="003724A0"/>
    <w:rsid w:val="00443228"/>
    <w:rsid w:val="004F75C4"/>
    <w:rsid w:val="0059759F"/>
    <w:rsid w:val="006762A5"/>
    <w:rsid w:val="007352EE"/>
    <w:rsid w:val="008D56B9"/>
    <w:rsid w:val="00915282"/>
    <w:rsid w:val="00C453D3"/>
    <w:rsid w:val="00C45992"/>
    <w:rsid w:val="00C849AA"/>
    <w:rsid w:val="00CA06A0"/>
    <w:rsid w:val="00D95FF6"/>
    <w:rsid w:val="00EB2AC6"/>
    <w:rsid w:val="00F1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912D"/>
  <w15:chartTrackingRefBased/>
  <w15:docId w15:val="{3B34DF38-9182-4691-80B3-1F9A2249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2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9AA"/>
    <w:pPr>
      <w:spacing w:after="0" w:line="240" w:lineRule="auto"/>
    </w:pPr>
  </w:style>
  <w:style w:type="character" w:styleId="Hyperlink">
    <w:name w:val="Hyperlink"/>
    <w:basedOn w:val="DefaultParagraphFont"/>
    <w:uiPriority w:val="99"/>
    <w:unhideWhenUsed/>
    <w:rsid w:val="00443228"/>
    <w:rPr>
      <w:color w:val="0563C1" w:themeColor="hyperlink"/>
      <w:u w:val="single"/>
    </w:rPr>
  </w:style>
  <w:style w:type="character" w:styleId="UnresolvedMention">
    <w:name w:val="Unresolved Mention"/>
    <w:basedOn w:val="DefaultParagraphFont"/>
    <w:uiPriority w:val="99"/>
    <w:semiHidden/>
    <w:unhideWhenUsed/>
    <w:rsid w:val="00443228"/>
    <w:rPr>
      <w:color w:val="808080"/>
      <w:shd w:val="clear" w:color="auto" w:fill="E6E6E6"/>
    </w:rPr>
  </w:style>
  <w:style w:type="paragraph" w:styleId="Header">
    <w:name w:val="header"/>
    <w:basedOn w:val="Normal"/>
    <w:link w:val="HeaderChar"/>
    <w:uiPriority w:val="99"/>
    <w:unhideWhenUsed/>
    <w:rsid w:val="00C453D3"/>
    <w:pPr>
      <w:tabs>
        <w:tab w:val="center" w:pos="4680"/>
        <w:tab w:val="right" w:pos="9360"/>
      </w:tabs>
    </w:pPr>
  </w:style>
  <w:style w:type="character" w:customStyle="1" w:styleId="HeaderChar">
    <w:name w:val="Header Char"/>
    <w:basedOn w:val="DefaultParagraphFont"/>
    <w:link w:val="Header"/>
    <w:uiPriority w:val="99"/>
    <w:rsid w:val="00C453D3"/>
    <w:rPr>
      <w:rFonts w:ascii="Calibri" w:hAnsi="Calibri" w:cs="Calibri"/>
    </w:rPr>
  </w:style>
  <w:style w:type="paragraph" w:styleId="Footer">
    <w:name w:val="footer"/>
    <w:basedOn w:val="Normal"/>
    <w:link w:val="FooterChar"/>
    <w:uiPriority w:val="99"/>
    <w:unhideWhenUsed/>
    <w:rsid w:val="00C453D3"/>
    <w:pPr>
      <w:tabs>
        <w:tab w:val="center" w:pos="4680"/>
        <w:tab w:val="right" w:pos="9360"/>
      </w:tabs>
    </w:pPr>
  </w:style>
  <w:style w:type="character" w:customStyle="1" w:styleId="FooterChar">
    <w:name w:val="Footer Char"/>
    <w:basedOn w:val="DefaultParagraphFont"/>
    <w:link w:val="Footer"/>
    <w:uiPriority w:val="99"/>
    <w:rsid w:val="00C453D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028">
      <w:bodyDiv w:val="1"/>
      <w:marLeft w:val="0"/>
      <w:marRight w:val="0"/>
      <w:marTop w:val="0"/>
      <w:marBottom w:val="0"/>
      <w:divBdr>
        <w:top w:val="none" w:sz="0" w:space="0" w:color="auto"/>
        <w:left w:val="none" w:sz="0" w:space="0" w:color="auto"/>
        <w:bottom w:val="none" w:sz="0" w:space="0" w:color="auto"/>
        <w:right w:val="none" w:sz="0" w:space="0" w:color="auto"/>
      </w:divBdr>
    </w:div>
    <w:div w:id="29843800">
      <w:bodyDiv w:val="1"/>
      <w:marLeft w:val="0"/>
      <w:marRight w:val="0"/>
      <w:marTop w:val="0"/>
      <w:marBottom w:val="0"/>
      <w:divBdr>
        <w:top w:val="none" w:sz="0" w:space="0" w:color="auto"/>
        <w:left w:val="none" w:sz="0" w:space="0" w:color="auto"/>
        <w:bottom w:val="none" w:sz="0" w:space="0" w:color="auto"/>
        <w:right w:val="none" w:sz="0" w:space="0" w:color="auto"/>
      </w:divBdr>
    </w:div>
    <w:div w:id="3193887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658">
          <w:marLeft w:val="0"/>
          <w:marRight w:val="557"/>
          <w:marTop w:val="0"/>
          <w:marBottom w:val="0"/>
          <w:divBdr>
            <w:top w:val="none" w:sz="0" w:space="0" w:color="auto"/>
            <w:left w:val="none" w:sz="0" w:space="0" w:color="auto"/>
            <w:bottom w:val="none" w:sz="0" w:space="0" w:color="auto"/>
            <w:right w:val="none" w:sz="0" w:space="0" w:color="auto"/>
          </w:divBdr>
          <w:divsChild>
            <w:div w:id="1755275918">
              <w:marLeft w:val="0"/>
              <w:marRight w:val="0"/>
              <w:marTop w:val="0"/>
              <w:marBottom w:val="0"/>
              <w:divBdr>
                <w:top w:val="none" w:sz="0" w:space="0" w:color="auto"/>
                <w:left w:val="none" w:sz="0" w:space="0" w:color="auto"/>
                <w:bottom w:val="none" w:sz="0" w:space="0" w:color="auto"/>
                <w:right w:val="none" w:sz="0" w:space="0" w:color="auto"/>
              </w:divBdr>
            </w:div>
          </w:divsChild>
        </w:div>
        <w:div w:id="677125069">
          <w:marLeft w:val="0"/>
          <w:marRight w:val="557"/>
          <w:marTop w:val="0"/>
          <w:marBottom w:val="0"/>
          <w:divBdr>
            <w:top w:val="none" w:sz="0" w:space="0" w:color="auto"/>
            <w:left w:val="none" w:sz="0" w:space="0" w:color="auto"/>
            <w:bottom w:val="none" w:sz="0" w:space="0" w:color="auto"/>
            <w:right w:val="none" w:sz="0" w:space="0" w:color="auto"/>
          </w:divBdr>
          <w:divsChild>
            <w:div w:id="1762557518">
              <w:marLeft w:val="0"/>
              <w:marRight w:val="0"/>
              <w:marTop w:val="0"/>
              <w:marBottom w:val="0"/>
              <w:divBdr>
                <w:top w:val="none" w:sz="0" w:space="0" w:color="auto"/>
                <w:left w:val="none" w:sz="0" w:space="0" w:color="auto"/>
                <w:bottom w:val="none" w:sz="0" w:space="0" w:color="auto"/>
                <w:right w:val="none" w:sz="0" w:space="0" w:color="auto"/>
              </w:divBdr>
            </w:div>
          </w:divsChild>
        </w:div>
        <w:div w:id="1957102426">
          <w:marLeft w:val="0"/>
          <w:marRight w:val="557"/>
          <w:marTop w:val="0"/>
          <w:marBottom w:val="0"/>
          <w:divBdr>
            <w:top w:val="none" w:sz="0" w:space="0" w:color="auto"/>
            <w:left w:val="none" w:sz="0" w:space="0" w:color="auto"/>
            <w:bottom w:val="none" w:sz="0" w:space="0" w:color="auto"/>
            <w:right w:val="none" w:sz="0" w:space="0" w:color="auto"/>
          </w:divBdr>
          <w:divsChild>
            <w:div w:id="3735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alitionforadolescentgirls.org/wp-content/uploads/2016/03/In-Response-to-the-U.S.-Global-Strategy-to-Empower-Adolescent-Girl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gsteeringcommitt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Clement</dc:creator>
  <cp:keywords/>
  <dc:description/>
  <cp:lastModifiedBy>Del Core, Sophia Elizabeth</cp:lastModifiedBy>
  <cp:revision>3</cp:revision>
  <dcterms:created xsi:type="dcterms:W3CDTF">2018-10-22T15:56:00Z</dcterms:created>
  <dcterms:modified xsi:type="dcterms:W3CDTF">2018-10-22T17:28:00Z</dcterms:modified>
</cp:coreProperties>
</file>